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5" w:rsidRPr="00335845" w:rsidRDefault="00335845" w:rsidP="00335845">
      <w:pPr>
        <w:widowControl/>
        <w:shd w:val="clear" w:color="auto" w:fill="FFFFFF"/>
        <w:spacing w:line="900" w:lineRule="atLeast"/>
        <w:jc w:val="center"/>
        <w:outlineLvl w:val="2"/>
        <w:rPr>
          <w:rFonts w:ascii="microsoft yahei" w:eastAsia="宋体" w:hAnsi="microsoft yahei" w:cs="宋体" w:hint="eastAsia"/>
          <w:b/>
          <w:bCs/>
          <w:color w:val="333333"/>
          <w:spacing w:val="-2"/>
          <w:kern w:val="0"/>
          <w:sz w:val="36"/>
          <w:szCs w:val="36"/>
        </w:rPr>
      </w:pPr>
      <w:r w:rsidRPr="00335845">
        <w:rPr>
          <w:rFonts w:ascii="microsoft yahei" w:eastAsia="宋体" w:hAnsi="microsoft yahei" w:cs="宋体"/>
          <w:b/>
          <w:bCs/>
          <w:color w:val="333333"/>
          <w:spacing w:val="-2"/>
          <w:kern w:val="0"/>
          <w:sz w:val="36"/>
          <w:szCs w:val="36"/>
        </w:rPr>
        <w:t>梨树县人民法院</w:t>
      </w:r>
      <w:r w:rsidRPr="00335845">
        <w:rPr>
          <w:rFonts w:ascii="microsoft yahei" w:eastAsia="宋体" w:hAnsi="microsoft yahei" w:cs="宋体"/>
          <w:b/>
          <w:bCs/>
          <w:color w:val="333333"/>
          <w:spacing w:val="-2"/>
          <w:kern w:val="0"/>
          <w:sz w:val="36"/>
          <w:szCs w:val="36"/>
        </w:rPr>
        <w:t>202</w:t>
      </w:r>
      <w:r>
        <w:rPr>
          <w:rFonts w:ascii="microsoft yahei" w:eastAsia="宋体" w:hAnsi="microsoft yahei" w:cs="宋体" w:hint="eastAsia"/>
          <w:b/>
          <w:bCs/>
          <w:color w:val="333333"/>
          <w:spacing w:val="-2"/>
          <w:kern w:val="0"/>
          <w:sz w:val="36"/>
          <w:szCs w:val="36"/>
        </w:rPr>
        <w:t>2</w:t>
      </w:r>
      <w:r w:rsidRPr="00335845">
        <w:rPr>
          <w:rFonts w:ascii="microsoft yahei" w:eastAsia="宋体" w:hAnsi="microsoft yahei" w:cs="宋体"/>
          <w:b/>
          <w:bCs/>
          <w:color w:val="333333"/>
          <w:spacing w:val="-2"/>
          <w:kern w:val="0"/>
          <w:sz w:val="36"/>
          <w:szCs w:val="36"/>
        </w:rPr>
        <w:t>年司法技术辅助工作分析报告</w:t>
      </w:r>
    </w:p>
    <w:p w:rsidR="00335845" w:rsidRPr="00335845" w:rsidRDefault="00335845" w:rsidP="00335845">
      <w:pPr>
        <w:widowControl/>
        <w:shd w:val="clear" w:color="auto" w:fill="FFFFFF"/>
        <w:jc w:val="center"/>
        <w:rPr>
          <w:rFonts w:ascii="microsoft yahei" w:eastAsia="宋体" w:hAnsi="microsoft yahei" w:cs="宋体" w:hint="eastAsia"/>
          <w:color w:val="000000"/>
          <w:kern w:val="0"/>
          <w:szCs w:val="21"/>
        </w:rPr>
      </w:pP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color w:val="000000"/>
          <w:kern w:val="0"/>
          <w:sz w:val="32"/>
          <w:szCs w:val="32"/>
          <w:bdr w:val="none" w:sz="0" w:space="0" w:color="auto" w:frame="1"/>
        </w:rPr>
        <w:t>  </w:t>
      </w:r>
      <w:r w:rsidRPr="00335845">
        <w:rPr>
          <w:rFonts w:ascii="宋体" w:eastAsia="宋体" w:hAnsi="宋体" w:cs="宋体" w:hint="eastAsia"/>
          <w:color w:val="000000"/>
          <w:kern w:val="0"/>
          <w:sz w:val="30"/>
          <w:szCs w:val="30"/>
          <w:bdr w:val="none" w:sz="0" w:space="0" w:color="auto" w:frame="1"/>
        </w:rPr>
        <w:t>司法辅助工作是人民法院鉴于获取、审查、确认案件的专门技术类诉讼证据和审判、执行过程中对外委托鉴定、评估、拍卖和对审判活动以及各项司法政务的日趋重要性而规定的一项工作职能，司法辅助工作已成为审判、执行工作不可或缺的组成部分。</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b/>
          <w:bCs/>
          <w:color w:val="000000"/>
          <w:kern w:val="0"/>
          <w:sz w:val="30"/>
          <w:szCs w:val="30"/>
          <w:bdr w:val="none" w:sz="0" w:space="0" w:color="auto" w:frame="1"/>
        </w:rPr>
        <w:t>一、基本情况汇报</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Pr>
          <w:rFonts w:ascii="宋体" w:eastAsia="宋体" w:hAnsi="宋体" w:cs="宋体" w:hint="eastAsia"/>
          <w:color w:val="000000"/>
          <w:kern w:val="0"/>
          <w:sz w:val="30"/>
          <w:szCs w:val="30"/>
          <w:bdr w:val="none" w:sz="0" w:space="0" w:color="auto" w:frame="1"/>
        </w:rPr>
        <w:t>  </w:t>
      </w:r>
      <w:r w:rsidRPr="00335845">
        <w:rPr>
          <w:rFonts w:ascii="宋体" w:eastAsia="宋体" w:hAnsi="宋体" w:cs="宋体" w:hint="eastAsia"/>
          <w:color w:val="000000"/>
          <w:kern w:val="0"/>
          <w:sz w:val="30"/>
          <w:szCs w:val="30"/>
          <w:bdr w:val="none" w:sz="0" w:space="0" w:color="auto" w:frame="1"/>
        </w:rPr>
        <w:t>为规范管理本院对外委托司法辅助工作，本院依据《吉林省高级人民法院对外委托司法辅助工作程序通则》，在诉讼服务中心设专人进行管理，现有司法技术辅助工作人员2名，专门负责司法辅助案件的日常管理和统一移送工作，以保障审判工作和执行工作的顺利进行。</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b/>
          <w:bCs/>
          <w:color w:val="000000"/>
          <w:kern w:val="0"/>
          <w:sz w:val="30"/>
          <w:szCs w:val="30"/>
          <w:bdr w:val="none" w:sz="0" w:space="0" w:color="auto" w:frame="1"/>
        </w:rPr>
        <w:t>二、严格把关，加强对外委托鉴定学习与管理。</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b/>
          <w:bCs/>
          <w:color w:val="000000"/>
          <w:kern w:val="0"/>
          <w:sz w:val="30"/>
          <w:szCs w:val="30"/>
          <w:bdr w:val="none" w:sz="0" w:space="0" w:color="auto" w:frame="1"/>
        </w:rPr>
        <w:t>  </w:t>
      </w:r>
      <w:r w:rsidRPr="00335845">
        <w:rPr>
          <w:rFonts w:ascii="宋体" w:eastAsia="宋体" w:hAnsi="宋体" w:cs="宋体" w:hint="eastAsia"/>
          <w:color w:val="000000"/>
          <w:kern w:val="0"/>
          <w:sz w:val="30"/>
          <w:szCs w:val="30"/>
          <w:bdr w:val="none" w:sz="0" w:space="0" w:color="auto" w:frame="1"/>
        </w:rPr>
        <w:t>为进一步规范司法辅助工作，提高审判质效，细化委托程序规范，2020年8月26日吉林省高级人民法院又下发了关于转发最高人民法院《关于人民法院民事诉讼中委托鉴定审查工作若干问题的规定》的通知，结合当前人民法院工作实际问题，最高人民法院提出了具体明确的规定。为司法鉴定工作的透明度，公开、公正提供了强有力的保障，同时加强了法院对外委托工作的协调性和规范性。我们认真进行了学习并严格遵照执行。</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color w:val="000000"/>
          <w:kern w:val="0"/>
          <w:sz w:val="30"/>
          <w:szCs w:val="30"/>
          <w:bdr w:val="none" w:sz="0" w:space="0" w:color="auto" w:frame="1"/>
        </w:rPr>
        <w:t>三、</w:t>
      </w:r>
      <w:r w:rsidRPr="00335845">
        <w:rPr>
          <w:rFonts w:ascii="宋体" w:eastAsia="宋体" w:hAnsi="宋体" w:cs="宋体" w:hint="eastAsia"/>
          <w:b/>
          <w:bCs/>
          <w:color w:val="000000"/>
          <w:kern w:val="0"/>
          <w:sz w:val="30"/>
          <w:szCs w:val="30"/>
          <w:bdr w:val="none" w:sz="0" w:space="0" w:color="auto" w:frame="1"/>
        </w:rPr>
        <w:t>严格标准，规范细化对外委托流程。</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color w:val="000000"/>
          <w:kern w:val="0"/>
          <w:sz w:val="32"/>
          <w:szCs w:val="32"/>
          <w:bdr w:val="none" w:sz="0" w:space="0" w:color="auto" w:frame="1"/>
        </w:rPr>
        <w:lastRenderedPageBreak/>
        <w:t>  </w:t>
      </w:r>
      <w:r w:rsidRPr="00335845">
        <w:rPr>
          <w:rFonts w:ascii="宋体" w:eastAsia="宋体" w:hAnsi="宋体" w:cs="宋体" w:hint="eastAsia"/>
          <w:color w:val="000000"/>
          <w:kern w:val="0"/>
          <w:sz w:val="30"/>
          <w:szCs w:val="30"/>
          <w:bdr w:val="none" w:sz="0" w:space="0" w:color="auto" w:frame="1"/>
        </w:rPr>
        <w:t>司法技术辅助工作的内网办案方便司法技术辅助人员对案件进行管理。从收案、审查、立案、委托选择机构至鉴定意见反馈、鉴定报告的签收等环节，进行准确、及时录入，实现了司法技术辅助工作的流程公开，使法院对外委托工作全程透明，全程留痕，确保了审判、执行部门与司法技术辅助部门工作流转过程的有效衔接。</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b/>
          <w:bCs/>
          <w:color w:val="000000"/>
          <w:kern w:val="0"/>
          <w:sz w:val="30"/>
          <w:szCs w:val="30"/>
          <w:bdr w:val="none" w:sz="0" w:space="0" w:color="auto" w:frame="1"/>
        </w:rPr>
        <w:t>四、</w:t>
      </w:r>
      <w:r w:rsidRPr="00335845">
        <w:rPr>
          <w:rFonts w:ascii="宋体" w:eastAsia="宋体" w:hAnsi="宋体" w:cs="宋体" w:hint="eastAsia"/>
          <w:b/>
          <w:bCs/>
          <w:color w:val="000000"/>
          <w:kern w:val="0"/>
          <w:sz w:val="32"/>
          <w:szCs w:val="32"/>
          <w:bdr w:val="none" w:sz="0" w:space="0" w:color="auto" w:frame="1"/>
        </w:rPr>
        <w:t>严格负责，强化四个意识，服务大局。</w:t>
      </w:r>
    </w:p>
    <w:p w:rsidR="00335845" w:rsidRPr="00335845" w:rsidRDefault="00335845" w:rsidP="00335845">
      <w:pPr>
        <w:widowControl/>
        <w:shd w:val="clear" w:color="auto" w:fill="FFFFFF"/>
        <w:spacing w:line="525" w:lineRule="atLeast"/>
        <w:jc w:val="left"/>
        <w:rPr>
          <w:rFonts w:ascii="microsoft yahei" w:eastAsia="宋体" w:hAnsi="microsoft yahei" w:cs="宋体" w:hint="eastAsia"/>
          <w:color w:val="000000"/>
          <w:kern w:val="0"/>
          <w:szCs w:val="21"/>
        </w:rPr>
      </w:pPr>
      <w:r w:rsidRPr="00335845">
        <w:rPr>
          <w:rFonts w:ascii="宋体" w:eastAsia="宋体" w:hAnsi="宋体" w:cs="宋体" w:hint="eastAsia"/>
          <w:b/>
          <w:bCs/>
          <w:color w:val="000000"/>
          <w:kern w:val="0"/>
          <w:sz w:val="32"/>
          <w:szCs w:val="32"/>
          <w:bdr w:val="none" w:sz="0" w:space="0" w:color="auto" w:frame="1"/>
        </w:rPr>
        <w:t>  </w:t>
      </w:r>
      <w:r w:rsidRPr="00335845">
        <w:rPr>
          <w:rFonts w:ascii="宋体" w:eastAsia="宋体" w:hAnsi="宋体" w:cs="宋体" w:hint="eastAsia"/>
          <w:color w:val="000000"/>
          <w:kern w:val="0"/>
          <w:sz w:val="30"/>
          <w:szCs w:val="30"/>
          <w:bdr w:val="none" w:sz="0" w:space="0" w:color="auto" w:frame="1"/>
          <w:shd w:val="clear" w:color="auto" w:fill="FFFFFF"/>
        </w:rPr>
        <w:t>我院司法辅助办公室主要是协助上级法院对司法辅助案件的材料进行流转，对申请鉴定、评估的案件材料进行初审，组织当事人前往四平市中级人民法院进行鉴定、评估机构的抽取，对部分案件的现场及鉴定物进行勘查，对鉴定材料进行移送。</w:t>
      </w:r>
    </w:p>
    <w:p w:rsidR="00335845" w:rsidRPr="00335845" w:rsidRDefault="00335845" w:rsidP="00335845">
      <w:pPr>
        <w:widowControl/>
        <w:shd w:val="clear" w:color="auto" w:fill="FFFFFF"/>
        <w:jc w:val="left"/>
        <w:rPr>
          <w:rFonts w:ascii="microsoft yahei" w:eastAsia="宋体" w:hAnsi="microsoft yahei" w:cs="宋体" w:hint="eastAsia"/>
          <w:color w:val="000000"/>
          <w:kern w:val="0"/>
          <w:szCs w:val="21"/>
        </w:rPr>
      </w:pPr>
      <w:r w:rsidRPr="00335845">
        <w:rPr>
          <w:rFonts w:ascii="宋体" w:eastAsia="宋体" w:hAnsi="宋体" w:cs="宋体" w:hint="eastAsia"/>
          <w:b/>
          <w:bCs/>
          <w:color w:val="000000"/>
          <w:kern w:val="0"/>
          <w:sz w:val="32"/>
          <w:szCs w:val="32"/>
          <w:bdr w:val="none" w:sz="0" w:space="0" w:color="auto" w:frame="1"/>
        </w:rPr>
        <w:t>五、完善司法辅助制度，建立长效机制。</w:t>
      </w:r>
    </w:p>
    <w:p w:rsidR="00335845" w:rsidRPr="00335845" w:rsidRDefault="00335845" w:rsidP="00335845">
      <w:pPr>
        <w:widowControl/>
        <w:shd w:val="clear" w:color="auto" w:fill="FFFFFF"/>
        <w:spacing w:line="495" w:lineRule="atLeast"/>
        <w:ind w:firstLine="645"/>
        <w:jc w:val="left"/>
        <w:rPr>
          <w:rFonts w:ascii="microsoft yahei" w:eastAsia="宋体" w:hAnsi="microsoft yahei" w:cs="宋体" w:hint="eastAsia"/>
          <w:color w:val="000000"/>
          <w:kern w:val="0"/>
          <w:szCs w:val="21"/>
        </w:rPr>
      </w:pPr>
      <w:r w:rsidRPr="00335845">
        <w:rPr>
          <w:rFonts w:ascii="宋体" w:eastAsia="宋体" w:hAnsi="宋体" w:cs="宋体" w:hint="eastAsia"/>
          <w:color w:val="000000"/>
          <w:kern w:val="0"/>
          <w:sz w:val="30"/>
          <w:szCs w:val="30"/>
          <w:bdr w:val="none" w:sz="0" w:space="0" w:color="auto" w:frame="1"/>
        </w:rPr>
        <w:t>我们充分认识到司法技术部门与审判执行部门要相互配合、相互协作，同时要配备专门工作人员，定期开展业务知识培训；各部门之间和上级法院之间建立顺畅的信息交流平台，针对受委托机构、法院审判或执行案件在开展委托工作过程中遇到的问题及时向各方进行进行反馈，使问题及时得到解决。这样才能加强法院对外委托工作的协调性和规范性，维护好当事人的合法权益，为审判工作提供坚实有力的司法技术保障。</w:t>
      </w:r>
    </w:p>
    <w:p w:rsidR="00A120BF" w:rsidRPr="00335845" w:rsidRDefault="00A120BF"/>
    <w:sectPr w:rsidR="00A120BF" w:rsidRPr="00335845" w:rsidSect="00402C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43E" w:rsidRDefault="00AD543E" w:rsidP="00335845">
      <w:r>
        <w:separator/>
      </w:r>
    </w:p>
  </w:endnote>
  <w:endnote w:type="continuationSeparator" w:id="1">
    <w:p w:rsidR="00AD543E" w:rsidRDefault="00AD543E" w:rsidP="00335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43E" w:rsidRDefault="00AD543E" w:rsidP="00335845">
      <w:r>
        <w:separator/>
      </w:r>
    </w:p>
  </w:footnote>
  <w:footnote w:type="continuationSeparator" w:id="1">
    <w:p w:rsidR="00AD543E" w:rsidRDefault="00AD543E" w:rsidP="00335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845"/>
    <w:rsid w:val="00335845"/>
    <w:rsid w:val="00402C17"/>
    <w:rsid w:val="00A120BF"/>
    <w:rsid w:val="00AB430F"/>
    <w:rsid w:val="00AD5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17"/>
    <w:pPr>
      <w:widowControl w:val="0"/>
      <w:jc w:val="both"/>
    </w:pPr>
  </w:style>
  <w:style w:type="paragraph" w:styleId="3">
    <w:name w:val="heading 3"/>
    <w:basedOn w:val="a"/>
    <w:link w:val="3Char"/>
    <w:uiPriority w:val="9"/>
    <w:qFormat/>
    <w:rsid w:val="0033584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5845"/>
    <w:rPr>
      <w:sz w:val="18"/>
      <w:szCs w:val="18"/>
    </w:rPr>
  </w:style>
  <w:style w:type="paragraph" w:styleId="a4">
    <w:name w:val="footer"/>
    <w:basedOn w:val="a"/>
    <w:link w:val="Char0"/>
    <w:uiPriority w:val="99"/>
    <w:semiHidden/>
    <w:unhideWhenUsed/>
    <w:rsid w:val="003358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5845"/>
    <w:rPr>
      <w:sz w:val="18"/>
      <w:szCs w:val="18"/>
    </w:rPr>
  </w:style>
  <w:style w:type="character" w:customStyle="1" w:styleId="3Char">
    <w:name w:val="标题 3 Char"/>
    <w:basedOn w:val="a0"/>
    <w:link w:val="3"/>
    <w:uiPriority w:val="9"/>
    <w:rsid w:val="00335845"/>
    <w:rPr>
      <w:rFonts w:ascii="宋体" w:eastAsia="宋体" w:hAnsi="宋体" w:cs="宋体"/>
      <w:b/>
      <w:bCs/>
      <w:kern w:val="0"/>
      <w:sz w:val="27"/>
      <w:szCs w:val="27"/>
    </w:rPr>
  </w:style>
  <w:style w:type="paragraph" w:styleId="a5">
    <w:name w:val="Normal (Web)"/>
    <w:basedOn w:val="a"/>
    <w:uiPriority w:val="99"/>
    <w:semiHidden/>
    <w:unhideWhenUsed/>
    <w:rsid w:val="003358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3466876">
      <w:bodyDiv w:val="1"/>
      <w:marLeft w:val="0"/>
      <w:marRight w:val="0"/>
      <w:marTop w:val="0"/>
      <w:marBottom w:val="0"/>
      <w:divBdr>
        <w:top w:val="none" w:sz="0" w:space="0" w:color="auto"/>
        <w:left w:val="none" w:sz="0" w:space="0" w:color="auto"/>
        <w:bottom w:val="none" w:sz="0" w:space="0" w:color="auto"/>
        <w:right w:val="none" w:sz="0" w:space="0" w:color="auto"/>
      </w:divBdr>
      <w:divsChild>
        <w:div w:id="172039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843</Characters>
  <Application>Microsoft Office Word</Application>
  <DocSecurity>0</DocSecurity>
  <Lines>7</Lines>
  <Paragraphs>1</Paragraphs>
  <ScaleCrop>false</ScaleCrop>
  <Company>Microsoft</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2022-12-06T11:13:00Z</dcterms:created>
  <dcterms:modified xsi:type="dcterms:W3CDTF">2022-12-06T11:16:00Z</dcterms:modified>
</cp:coreProperties>
</file>